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1539" w14:textId="2B766F7E" w:rsidR="001A7CCE" w:rsidRDefault="001A7CCE" w:rsidP="0020036F">
      <w:pPr>
        <w:pStyle w:val="Heading1"/>
        <w:pBdr>
          <w:bottom w:val="single" w:sz="12" w:space="1" w:color="auto"/>
        </w:pBdr>
        <w:rPr>
          <w:rFonts w:ascii="Arial" w:hAnsi="Arial" w:cs="Arial"/>
          <w:color w:val="auto"/>
        </w:rPr>
      </w:pPr>
      <w:r>
        <w:rPr>
          <w:noProof/>
          <w14:ligatures w14:val="standardContextual"/>
        </w:rPr>
        <w:drawing>
          <wp:inline distT="0" distB="0" distL="0" distR="0" wp14:anchorId="799FFD13" wp14:editId="608A7712">
            <wp:extent cx="1567180" cy="752475"/>
            <wp:effectExtent l="0" t="0" r="0" b="9525"/>
            <wp:docPr id="1568946651" name="Picture 2" descr="A black background with a square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46651" name="Picture 2" descr="A black background with a square in the middl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A7CCE" w14:paraId="5F0E7DF7" w14:textId="77777777" w:rsidTr="00297B2B">
        <w:tc>
          <w:tcPr>
            <w:tcW w:w="4675" w:type="dxa"/>
          </w:tcPr>
          <w:p w14:paraId="7D964020" w14:textId="4218D2C5" w:rsidR="001A7CCE" w:rsidRPr="001A7CCE" w:rsidRDefault="00297B2B" w:rsidP="001A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Policy Type: </w:t>
            </w:r>
            <w:r w:rsidRPr="00297B2B">
              <w:rPr>
                <w:rFonts w:ascii="Arial" w:hAnsi="Arial" w:cs="Arial"/>
                <w:b/>
                <w:bCs/>
                <w:sz w:val="24"/>
                <w:szCs w:val="24"/>
              </w:rPr>
              <w:t>Operational</w:t>
            </w:r>
          </w:p>
        </w:tc>
        <w:tc>
          <w:tcPr>
            <w:tcW w:w="4675" w:type="dxa"/>
          </w:tcPr>
          <w:p w14:paraId="0827199E" w14:textId="6BDCB16B" w:rsidR="001A7CCE" w:rsidRPr="001A7CCE" w:rsidRDefault="001A7CCE" w:rsidP="00EA678A">
            <w:pPr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 xml:space="preserve">Policy Number: </w:t>
            </w:r>
            <w:r w:rsidRPr="001A7CCE">
              <w:rPr>
                <w:rFonts w:ascii="Arial" w:hAnsi="Arial" w:cs="Arial"/>
                <w:b/>
                <w:bCs/>
                <w:sz w:val="24"/>
                <w:szCs w:val="24"/>
              </w:rPr>
              <w:t>11 – 02</w:t>
            </w:r>
          </w:p>
        </w:tc>
      </w:tr>
      <w:tr w:rsidR="001A7CCE" w14:paraId="095E5EE1" w14:textId="77777777" w:rsidTr="00297B2B">
        <w:tc>
          <w:tcPr>
            <w:tcW w:w="4675" w:type="dxa"/>
          </w:tcPr>
          <w:p w14:paraId="4A035614" w14:textId="5FD75B8E" w:rsidR="001A7CCE" w:rsidRPr="001A7CCE" w:rsidRDefault="001A7CCE" w:rsidP="001A7CCE">
            <w:pPr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 xml:space="preserve">Policy Title: </w:t>
            </w:r>
            <w:r w:rsidRPr="001A7CCE">
              <w:rPr>
                <w:rFonts w:ascii="Arial" w:hAnsi="Arial" w:cs="Arial"/>
                <w:b/>
                <w:bCs/>
                <w:sz w:val="24"/>
                <w:szCs w:val="24"/>
              </w:rPr>
              <w:t>Code of Conduct</w:t>
            </w:r>
          </w:p>
        </w:tc>
        <w:tc>
          <w:tcPr>
            <w:tcW w:w="4675" w:type="dxa"/>
          </w:tcPr>
          <w:p w14:paraId="7D0A25F0" w14:textId="1DEC5617" w:rsidR="001A7CCE" w:rsidRPr="001A7CCE" w:rsidRDefault="001A7CCE" w:rsidP="00EA678A">
            <w:pPr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 xml:space="preserve">Policy Approval Date: </w:t>
            </w:r>
            <w:r w:rsidRPr="001A7CCE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  <w:r w:rsidR="00EA67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13,</w:t>
            </w:r>
            <w:r w:rsidRPr="001A7C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1A7CCE" w14:paraId="5E239BCD" w14:textId="77777777" w:rsidTr="00297B2B">
        <w:trPr>
          <w:trHeight w:val="80"/>
        </w:trPr>
        <w:tc>
          <w:tcPr>
            <w:tcW w:w="4675" w:type="dxa"/>
          </w:tcPr>
          <w:p w14:paraId="046A866E" w14:textId="77777777" w:rsidR="001A7CCE" w:rsidRPr="001A7CCE" w:rsidRDefault="001A7CCE" w:rsidP="001A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5B3CF47" w14:textId="40CE82C3" w:rsidR="001A7CCE" w:rsidRPr="001A7CCE" w:rsidRDefault="001A7CCE" w:rsidP="00EA678A">
            <w:pPr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 xml:space="preserve">Review Date: </w:t>
            </w:r>
            <w:r w:rsidRPr="001A7CCE">
              <w:rPr>
                <w:rFonts w:ascii="Arial" w:hAnsi="Arial" w:cs="Arial"/>
                <w:b/>
                <w:bCs/>
                <w:sz w:val="24"/>
                <w:szCs w:val="24"/>
              </w:rPr>
              <w:t>May 2025</w:t>
            </w:r>
          </w:p>
        </w:tc>
      </w:tr>
    </w:tbl>
    <w:p w14:paraId="27ACDDB3" w14:textId="77777777" w:rsidR="001A7CCE" w:rsidRDefault="001A7CCE" w:rsidP="001A7CCE">
      <w:pPr>
        <w:pBdr>
          <w:bottom w:val="single" w:sz="12" w:space="1" w:color="auto"/>
        </w:pBdr>
      </w:pPr>
    </w:p>
    <w:p w14:paraId="7C7FA25F" w14:textId="77777777" w:rsidR="001A7CCE" w:rsidRPr="001A7CCE" w:rsidRDefault="001A7CCE" w:rsidP="001A7CCE"/>
    <w:p w14:paraId="4E5A195E" w14:textId="77777777" w:rsidR="0020036F" w:rsidRDefault="0020036F" w:rsidP="0020036F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1A7CCE">
        <w:rPr>
          <w:rFonts w:ascii="Arial" w:hAnsi="Arial" w:cs="Arial"/>
          <w:b/>
          <w:bCs/>
          <w:color w:val="auto"/>
          <w:sz w:val="28"/>
          <w:szCs w:val="28"/>
        </w:rPr>
        <w:t xml:space="preserve">Purpose </w:t>
      </w:r>
    </w:p>
    <w:p w14:paraId="07892461" w14:textId="77777777" w:rsidR="00CB5F83" w:rsidRPr="00CB5F83" w:rsidRDefault="00CB5F83" w:rsidP="00CB5F83"/>
    <w:p w14:paraId="718C1804" w14:textId="05B445C9" w:rsidR="0020036F" w:rsidRDefault="0020036F" w:rsidP="0020036F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Everyone is welcome at the </w:t>
      </w:r>
      <w:proofErr w:type="gramStart"/>
      <w:r w:rsidRPr="001A7CCE">
        <w:rPr>
          <w:rFonts w:ascii="Arial" w:hAnsi="Arial" w:cs="Arial"/>
          <w:sz w:val="24"/>
          <w:szCs w:val="24"/>
        </w:rPr>
        <w:t>Library</w:t>
      </w:r>
      <w:proofErr w:type="gramEnd"/>
      <w:r w:rsidRPr="001A7CCE">
        <w:rPr>
          <w:rFonts w:ascii="Arial" w:hAnsi="Arial" w:cs="Arial"/>
          <w:sz w:val="24"/>
          <w:szCs w:val="24"/>
        </w:rPr>
        <w:t xml:space="preserve">. The Code of Conduct has been adopted to ensure the safety, protection and enjoyment of all those using the </w:t>
      </w:r>
      <w:proofErr w:type="gramStart"/>
      <w:r w:rsidRPr="001A7CCE">
        <w:rPr>
          <w:rFonts w:ascii="Arial" w:hAnsi="Arial" w:cs="Arial"/>
          <w:sz w:val="24"/>
          <w:szCs w:val="24"/>
        </w:rPr>
        <w:t>Library</w:t>
      </w:r>
      <w:proofErr w:type="gramEnd"/>
      <w:r w:rsidRPr="001A7CCE">
        <w:rPr>
          <w:rFonts w:ascii="Arial" w:hAnsi="Arial" w:cs="Arial"/>
          <w:sz w:val="24"/>
          <w:szCs w:val="24"/>
        </w:rPr>
        <w:t xml:space="preserve">. The policy will be courteously, but firmly, enforced by all Library staff. We are committed to maintaining a safe, positive and quality environment where we treat each other with respect and courtesy. </w:t>
      </w:r>
    </w:p>
    <w:p w14:paraId="6260A4C8" w14:textId="77777777" w:rsidR="00570589" w:rsidRPr="001A7CCE" w:rsidRDefault="00570589" w:rsidP="0020036F">
      <w:pPr>
        <w:rPr>
          <w:rFonts w:ascii="Arial" w:hAnsi="Arial" w:cs="Arial"/>
          <w:sz w:val="24"/>
          <w:szCs w:val="24"/>
        </w:rPr>
      </w:pPr>
    </w:p>
    <w:p w14:paraId="7B63360F" w14:textId="1E4B7024" w:rsidR="00CB5F83" w:rsidRDefault="0020036F" w:rsidP="00CB5F83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1A7CCE">
        <w:rPr>
          <w:rFonts w:ascii="Arial" w:hAnsi="Arial" w:cs="Arial"/>
          <w:b/>
          <w:bCs/>
          <w:color w:val="auto"/>
          <w:sz w:val="28"/>
          <w:szCs w:val="28"/>
        </w:rPr>
        <w:t xml:space="preserve">Guidelines </w:t>
      </w:r>
    </w:p>
    <w:p w14:paraId="2F37B2D5" w14:textId="77777777" w:rsidR="00CB5F83" w:rsidRPr="00CB5F83" w:rsidRDefault="00CB5F83" w:rsidP="00CB5F83"/>
    <w:p w14:paraId="701350BF" w14:textId="7777777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  <w:proofErr w:type="gramStart"/>
      <w:r w:rsidRPr="001A7CCE">
        <w:rPr>
          <w:rFonts w:ascii="Arial" w:hAnsi="Arial" w:cs="Arial"/>
          <w:sz w:val="24"/>
          <w:szCs w:val="24"/>
        </w:rPr>
        <w:t>In order to</w:t>
      </w:r>
      <w:proofErr w:type="gramEnd"/>
      <w:r w:rsidRPr="001A7CCE">
        <w:rPr>
          <w:rFonts w:ascii="Arial" w:hAnsi="Arial" w:cs="Arial"/>
          <w:sz w:val="24"/>
          <w:szCs w:val="24"/>
        </w:rPr>
        <w:t xml:space="preserve"> provide the best possible experience for Library visitors, everyone must: </w:t>
      </w:r>
    </w:p>
    <w:p w14:paraId="300D900C" w14:textId="78577591" w:rsidR="0020036F" w:rsidRPr="001A7CCE" w:rsidRDefault="0020036F" w:rsidP="0020036F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Treat each other </w:t>
      </w:r>
      <w:proofErr w:type="gramStart"/>
      <w:r w:rsidRPr="001A7CCE">
        <w:rPr>
          <w:rFonts w:ascii="Arial" w:hAnsi="Arial" w:cs="Arial"/>
          <w:sz w:val="24"/>
          <w:szCs w:val="24"/>
        </w:rPr>
        <w:t>courteously</w:t>
      </w:r>
      <w:r w:rsidR="00CD625E">
        <w:rPr>
          <w:rFonts w:ascii="Arial" w:hAnsi="Arial" w:cs="Arial"/>
          <w:sz w:val="24"/>
          <w:szCs w:val="24"/>
        </w:rPr>
        <w:t>;</w:t>
      </w:r>
      <w:proofErr w:type="gramEnd"/>
      <w:r w:rsidRPr="001A7CCE">
        <w:rPr>
          <w:rFonts w:ascii="Arial" w:hAnsi="Arial" w:cs="Arial"/>
          <w:sz w:val="24"/>
          <w:szCs w:val="24"/>
        </w:rPr>
        <w:t xml:space="preserve"> </w:t>
      </w:r>
    </w:p>
    <w:p w14:paraId="135BDC20" w14:textId="5087682E" w:rsidR="0020036F" w:rsidRPr="001A7CCE" w:rsidRDefault="0020036F" w:rsidP="0020036F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Respect each other’s </w:t>
      </w:r>
      <w:proofErr w:type="gramStart"/>
      <w:r w:rsidRPr="001A7CCE">
        <w:rPr>
          <w:rFonts w:ascii="Arial" w:hAnsi="Arial" w:cs="Arial"/>
          <w:sz w:val="24"/>
          <w:szCs w:val="24"/>
        </w:rPr>
        <w:t>privacy</w:t>
      </w:r>
      <w:r w:rsidR="00CD625E">
        <w:rPr>
          <w:rFonts w:ascii="Arial" w:hAnsi="Arial" w:cs="Arial"/>
          <w:sz w:val="24"/>
          <w:szCs w:val="24"/>
        </w:rPr>
        <w:t>;</w:t>
      </w:r>
      <w:proofErr w:type="gramEnd"/>
    </w:p>
    <w:p w14:paraId="46188134" w14:textId="65540F53" w:rsidR="0020036F" w:rsidRPr="001A7CCE" w:rsidRDefault="0020036F" w:rsidP="0020036F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Use Library property: materials, computers, equipment and furniture, with </w:t>
      </w:r>
      <w:proofErr w:type="gramStart"/>
      <w:r w:rsidRPr="001A7CCE">
        <w:rPr>
          <w:rFonts w:ascii="Arial" w:hAnsi="Arial" w:cs="Arial"/>
          <w:sz w:val="24"/>
          <w:szCs w:val="24"/>
        </w:rPr>
        <w:t>care</w:t>
      </w:r>
      <w:r w:rsidR="00CD625E">
        <w:rPr>
          <w:rFonts w:ascii="Arial" w:hAnsi="Arial" w:cs="Arial"/>
          <w:sz w:val="24"/>
          <w:szCs w:val="24"/>
        </w:rPr>
        <w:t>;</w:t>
      </w:r>
      <w:proofErr w:type="gramEnd"/>
    </w:p>
    <w:p w14:paraId="35218FF8" w14:textId="04EBFB32" w:rsidR="0020036F" w:rsidRPr="001A7CCE" w:rsidRDefault="0020036F" w:rsidP="0020036F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>Follow Library rules</w:t>
      </w:r>
      <w:r w:rsidR="00CD625E">
        <w:rPr>
          <w:rFonts w:ascii="Arial" w:hAnsi="Arial" w:cs="Arial"/>
          <w:sz w:val="24"/>
          <w:szCs w:val="24"/>
        </w:rPr>
        <w:t>.</w:t>
      </w:r>
    </w:p>
    <w:p w14:paraId="639CDC08" w14:textId="7777777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Everyone is also expected to: </w:t>
      </w:r>
    </w:p>
    <w:p w14:paraId="13B20EED" w14:textId="77777777" w:rsidR="0020036F" w:rsidRPr="001A7CCE" w:rsidRDefault="0020036F" w:rsidP="0020036F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Attend to and supervise </w:t>
      </w:r>
      <w:proofErr w:type="gramStart"/>
      <w:r w:rsidRPr="001A7CCE">
        <w:rPr>
          <w:rFonts w:ascii="Arial" w:hAnsi="Arial" w:cs="Arial"/>
          <w:sz w:val="24"/>
          <w:szCs w:val="24"/>
        </w:rPr>
        <w:t>children,</w:t>
      </w:r>
      <w:proofErr w:type="gramEnd"/>
      <w:r w:rsidRPr="001A7CCE">
        <w:rPr>
          <w:rFonts w:ascii="Arial" w:hAnsi="Arial" w:cs="Arial"/>
          <w:sz w:val="24"/>
          <w:szCs w:val="24"/>
        </w:rPr>
        <w:t xml:space="preserve"> under the age of 10, in their care as outlined in the </w:t>
      </w:r>
      <w:proofErr w:type="gramStart"/>
      <w:r w:rsidRPr="001A7CCE">
        <w:rPr>
          <w:rFonts w:ascii="Arial" w:hAnsi="Arial" w:cs="Arial"/>
          <w:sz w:val="24"/>
          <w:szCs w:val="24"/>
        </w:rPr>
        <w:t>Library’s</w:t>
      </w:r>
      <w:proofErr w:type="gramEnd"/>
      <w:r w:rsidRPr="001A7CCE">
        <w:rPr>
          <w:rFonts w:ascii="Arial" w:hAnsi="Arial" w:cs="Arial"/>
          <w:sz w:val="24"/>
          <w:szCs w:val="24"/>
        </w:rPr>
        <w:t xml:space="preserve"> related policy regarding the Safety and Conduct of Children in the Library. </w:t>
      </w:r>
    </w:p>
    <w:p w14:paraId="30F362C8" w14:textId="77777777" w:rsidR="0020036F" w:rsidRPr="001A7CCE" w:rsidRDefault="0020036F" w:rsidP="0020036F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Attend to personal belongings. The </w:t>
      </w:r>
      <w:proofErr w:type="gramStart"/>
      <w:r w:rsidRPr="001A7CCE">
        <w:rPr>
          <w:rFonts w:ascii="Arial" w:hAnsi="Arial" w:cs="Arial"/>
          <w:sz w:val="24"/>
          <w:szCs w:val="24"/>
        </w:rPr>
        <w:t>Library</w:t>
      </w:r>
      <w:proofErr w:type="gramEnd"/>
      <w:r w:rsidRPr="001A7CCE">
        <w:rPr>
          <w:rFonts w:ascii="Arial" w:hAnsi="Arial" w:cs="Arial"/>
          <w:sz w:val="24"/>
          <w:szCs w:val="24"/>
        </w:rPr>
        <w:t xml:space="preserve"> is not responsible for lost items. </w:t>
      </w:r>
    </w:p>
    <w:p w14:paraId="04214D7B" w14:textId="77777777" w:rsidR="0020036F" w:rsidRPr="001A7CCE" w:rsidRDefault="0020036F" w:rsidP="0020036F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Dress appropriately, including </w:t>
      </w:r>
      <w:proofErr w:type="gramStart"/>
      <w:r w:rsidRPr="001A7CCE">
        <w:rPr>
          <w:rFonts w:ascii="Arial" w:hAnsi="Arial" w:cs="Arial"/>
          <w:sz w:val="24"/>
          <w:szCs w:val="24"/>
        </w:rPr>
        <w:t>wearing shoes and shirts at all times</w:t>
      </w:r>
      <w:proofErr w:type="gramEnd"/>
      <w:r w:rsidRPr="001A7CCE">
        <w:rPr>
          <w:rFonts w:ascii="Arial" w:hAnsi="Arial" w:cs="Arial"/>
          <w:sz w:val="24"/>
          <w:szCs w:val="24"/>
        </w:rPr>
        <w:t xml:space="preserve">. </w:t>
      </w:r>
    </w:p>
    <w:p w14:paraId="0CA60B5A" w14:textId="77777777" w:rsidR="0020036F" w:rsidRPr="001A7CCE" w:rsidRDefault="0020036F" w:rsidP="0020036F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>Refrain from consuming food and drink near or while using library computers, portable devices or peripherals.</w:t>
      </w:r>
    </w:p>
    <w:p w14:paraId="12DADE23" w14:textId="6C107073" w:rsidR="0020036F" w:rsidRPr="001A7CCE" w:rsidRDefault="0020036F" w:rsidP="001A7CC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Patrons may be required to make available for inspection all bags and carrying cases. </w:t>
      </w:r>
    </w:p>
    <w:p w14:paraId="7188B09D" w14:textId="7777777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To be safe, please: </w:t>
      </w:r>
    </w:p>
    <w:p w14:paraId="23EC7750" w14:textId="190A83E2" w:rsidR="0020036F" w:rsidRPr="001A7CCE" w:rsidRDefault="0020036F" w:rsidP="0020036F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>Leave the building in case of fire, fire drills or other emergencies</w:t>
      </w:r>
      <w:r w:rsidR="00CD625E">
        <w:rPr>
          <w:rFonts w:ascii="Arial" w:hAnsi="Arial" w:cs="Arial"/>
          <w:sz w:val="24"/>
          <w:szCs w:val="24"/>
        </w:rPr>
        <w:t>.</w:t>
      </w:r>
      <w:r w:rsidRPr="001A7CCE">
        <w:rPr>
          <w:rFonts w:ascii="Arial" w:hAnsi="Arial" w:cs="Arial"/>
          <w:sz w:val="24"/>
          <w:szCs w:val="24"/>
        </w:rPr>
        <w:t xml:space="preserve"> </w:t>
      </w:r>
    </w:p>
    <w:p w14:paraId="41AA10B4" w14:textId="437237DD" w:rsidR="0020036F" w:rsidRPr="001A7CCE" w:rsidRDefault="0020036F" w:rsidP="0020036F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>Follow the instructions of Library employees in emergency situations</w:t>
      </w:r>
      <w:r w:rsidR="00CD625E">
        <w:rPr>
          <w:rFonts w:ascii="Arial" w:hAnsi="Arial" w:cs="Arial"/>
          <w:sz w:val="24"/>
          <w:szCs w:val="24"/>
        </w:rPr>
        <w:t>.</w:t>
      </w:r>
    </w:p>
    <w:p w14:paraId="344F9EA9" w14:textId="0FD5ED0F" w:rsidR="0020036F" w:rsidRPr="001A7CCE" w:rsidRDefault="0020036F" w:rsidP="0020036F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>Keep aisles, corridors, and spaces around you clear to allow safe access for all</w:t>
      </w:r>
      <w:r w:rsidR="00CD625E">
        <w:rPr>
          <w:rFonts w:ascii="Arial" w:hAnsi="Arial" w:cs="Arial"/>
          <w:sz w:val="24"/>
          <w:szCs w:val="24"/>
        </w:rPr>
        <w:t>.</w:t>
      </w:r>
    </w:p>
    <w:p w14:paraId="6D8687FE" w14:textId="7777777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Animals are only welcome in the Library if they are either: </w:t>
      </w:r>
    </w:p>
    <w:p w14:paraId="5D1C09DE" w14:textId="77777777" w:rsidR="0020036F" w:rsidRPr="001A7CCE" w:rsidRDefault="0020036F" w:rsidP="0020036F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lastRenderedPageBreak/>
        <w:t xml:space="preserve">A Registered Service animal at work, in training OR </w:t>
      </w:r>
    </w:p>
    <w:p w14:paraId="5891FD5B" w14:textId="1CF40EC6" w:rsidR="0020036F" w:rsidRPr="001A7CCE" w:rsidRDefault="0020036F" w:rsidP="0020036F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>Participating in a Library program organized to accommodate them</w:t>
      </w:r>
      <w:r w:rsidR="00CD625E">
        <w:rPr>
          <w:rFonts w:ascii="Arial" w:hAnsi="Arial" w:cs="Arial"/>
          <w:sz w:val="24"/>
          <w:szCs w:val="24"/>
        </w:rPr>
        <w:t>.</w:t>
      </w:r>
    </w:p>
    <w:p w14:paraId="73B17554" w14:textId="7777777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Unacceptable behaviours include, but are not limited to: </w:t>
      </w:r>
    </w:p>
    <w:p w14:paraId="79EF1F95" w14:textId="59E78FDB" w:rsidR="0020036F" w:rsidRPr="001A7CCE" w:rsidRDefault="0020036F" w:rsidP="0020036F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>Behaviour (including conduct or language) that is disruptive, abusive, harassing or threatening to Library users or staff. Anyone engaged in unacceptable behaviour will be asked to leave the building</w:t>
      </w:r>
      <w:r w:rsidR="00CD625E">
        <w:rPr>
          <w:rFonts w:ascii="Arial" w:hAnsi="Arial" w:cs="Arial"/>
          <w:sz w:val="24"/>
          <w:szCs w:val="24"/>
        </w:rPr>
        <w:t>.</w:t>
      </w:r>
    </w:p>
    <w:p w14:paraId="659B91EF" w14:textId="23869ACE" w:rsidR="0020036F" w:rsidRPr="001A7CCE" w:rsidRDefault="0020036F" w:rsidP="0020036F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>Stealing or damaging Library property will result in cancellation of Library privileges and may be subject to prosecution</w:t>
      </w:r>
      <w:r w:rsidR="00CD625E">
        <w:rPr>
          <w:rFonts w:ascii="Arial" w:hAnsi="Arial" w:cs="Arial"/>
          <w:sz w:val="24"/>
          <w:szCs w:val="24"/>
        </w:rPr>
        <w:t>.</w:t>
      </w:r>
    </w:p>
    <w:p w14:paraId="1C3A72F1" w14:textId="77777777" w:rsidR="0020036F" w:rsidRPr="001A7CCE" w:rsidRDefault="0020036F" w:rsidP="0020036F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Being under the influence of alcohol, cannabis or illegal substances. </w:t>
      </w:r>
    </w:p>
    <w:p w14:paraId="0958375C" w14:textId="0DEBFBAA" w:rsidR="0020036F" w:rsidRPr="001A7CCE" w:rsidRDefault="0020036F" w:rsidP="0020036F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>Smoking tobacco or cannabis or vaping anywhere in or around the Library and surrounding municipal property. (Niagara Regional By-law 112.2013, as amended by By-law No. 2019-52 of August 1, 2019)</w:t>
      </w:r>
    </w:p>
    <w:p w14:paraId="1850738E" w14:textId="7DED86EE" w:rsidR="0020036F" w:rsidRPr="001A7CCE" w:rsidRDefault="0020036F" w:rsidP="0020036F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>The use of roller blades, skateboards, bicycles and scooters (excluding mobility devices) in the Library</w:t>
      </w:r>
      <w:r w:rsidR="00CD625E">
        <w:rPr>
          <w:rFonts w:ascii="Arial" w:hAnsi="Arial" w:cs="Arial"/>
          <w:sz w:val="24"/>
          <w:szCs w:val="24"/>
        </w:rPr>
        <w:t>.</w:t>
      </w:r>
    </w:p>
    <w:p w14:paraId="616DCBBA" w14:textId="1C5E5E36" w:rsidR="0020036F" w:rsidRPr="001A7CCE" w:rsidRDefault="0020036F" w:rsidP="0020036F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>Posting notices, soliciting, or engaging in any commercial activity unless authorized by the CEO &amp; Chief Librarian</w:t>
      </w:r>
      <w:r w:rsidR="00CD625E">
        <w:rPr>
          <w:rFonts w:ascii="Arial" w:hAnsi="Arial" w:cs="Arial"/>
          <w:sz w:val="24"/>
          <w:szCs w:val="24"/>
        </w:rPr>
        <w:t>.</w:t>
      </w:r>
    </w:p>
    <w:p w14:paraId="4C2D80CD" w14:textId="6B50F9EF" w:rsidR="0020036F" w:rsidRPr="001A7CCE" w:rsidRDefault="0020036F" w:rsidP="0020036F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>Photographing, filming or videotaping without prior approval from the CEO &amp; Chief Librarian</w:t>
      </w:r>
      <w:r w:rsidR="00CD625E">
        <w:rPr>
          <w:rFonts w:ascii="Arial" w:hAnsi="Arial" w:cs="Arial"/>
          <w:sz w:val="24"/>
          <w:szCs w:val="24"/>
        </w:rPr>
        <w:t>.</w:t>
      </w:r>
    </w:p>
    <w:p w14:paraId="47CEE7CF" w14:textId="1C912822" w:rsidR="00570589" w:rsidRDefault="0020036F" w:rsidP="00570589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>Children requiring supervision are not to be left unattended in or about the Library premises</w:t>
      </w:r>
      <w:r w:rsidR="00CD625E">
        <w:rPr>
          <w:rFonts w:ascii="Arial" w:hAnsi="Arial" w:cs="Arial"/>
          <w:sz w:val="24"/>
          <w:szCs w:val="24"/>
        </w:rPr>
        <w:t>.</w:t>
      </w:r>
    </w:p>
    <w:p w14:paraId="721E1D82" w14:textId="77777777" w:rsidR="00570589" w:rsidRPr="00570589" w:rsidRDefault="00570589" w:rsidP="00570589">
      <w:pPr>
        <w:pStyle w:val="ListParagraph"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</w:p>
    <w:p w14:paraId="5992F011" w14:textId="32AF4E78" w:rsidR="0020036F" w:rsidRDefault="0020036F" w:rsidP="0020036F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1A7CCE">
        <w:rPr>
          <w:rFonts w:ascii="Arial" w:hAnsi="Arial" w:cs="Arial"/>
          <w:b/>
          <w:bCs/>
          <w:color w:val="auto"/>
          <w:sz w:val="28"/>
          <w:szCs w:val="28"/>
        </w:rPr>
        <w:t xml:space="preserve">Contravention of Policy </w:t>
      </w:r>
    </w:p>
    <w:p w14:paraId="3FC6C6E2" w14:textId="77777777" w:rsidR="00570589" w:rsidRPr="00570589" w:rsidRDefault="00570589" w:rsidP="00570589"/>
    <w:p w14:paraId="7510B45C" w14:textId="7777777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The Grimsby Public Library Board reserves the right to remove the privileges of any Library user found in contravention of the Grimsby Public Library Board’s policies. </w:t>
      </w:r>
    </w:p>
    <w:p w14:paraId="7C72C69F" w14:textId="77777777" w:rsidR="008B1F68" w:rsidRDefault="0020036F" w:rsidP="0020036F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Failure to comply with this Code of Conduct or other library policies may result in consequences deemed by library staff to be appropriate to the behaviour. </w:t>
      </w:r>
    </w:p>
    <w:p w14:paraId="1CCB0010" w14:textId="77777777" w:rsidR="008B1F68" w:rsidRDefault="008B1F68" w:rsidP="0020036F">
      <w:pPr>
        <w:rPr>
          <w:rFonts w:ascii="Arial" w:hAnsi="Arial" w:cs="Arial"/>
          <w:sz w:val="24"/>
          <w:szCs w:val="24"/>
        </w:rPr>
      </w:pPr>
    </w:p>
    <w:p w14:paraId="1CE414C0" w14:textId="30279F6F" w:rsidR="0020036F" w:rsidRDefault="0020036F" w:rsidP="0020036F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Consequences may include a warning; a directive to vacate the premises; suspension of library privileges; prohibition from the library building and premises by way of issuing a Notice of Trespass; and/or laying criminal charges. Length of trespass or ban will be determined by library staff and will range from one day up to and including permanent removal from the library. </w:t>
      </w:r>
      <w:r w:rsidRPr="008B1F68">
        <w:rPr>
          <w:rFonts w:ascii="Arial" w:hAnsi="Arial" w:cs="Arial"/>
          <w:b/>
          <w:bCs/>
          <w:sz w:val="24"/>
          <w:szCs w:val="24"/>
        </w:rPr>
        <w:t xml:space="preserve">Appendix </w:t>
      </w:r>
      <w:r w:rsidR="00892657">
        <w:rPr>
          <w:rFonts w:ascii="Arial" w:hAnsi="Arial" w:cs="Arial"/>
          <w:b/>
          <w:bCs/>
          <w:sz w:val="24"/>
          <w:szCs w:val="24"/>
        </w:rPr>
        <w:t>A</w:t>
      </w:r>
      <w:r w:rsidRPr="001A7CCE">
        <w:rPr>
          <w:rFonts w:ascii="Arial" w:hAnsi="Arial" w:cs="Arial"/>
          <w:sz w:val="24"/>
          <w:szCs w:val="24"/>
        </w:rPr>
        <w:t xml:space="preserve"> includes details of the trespass or ban period by incident type.  </w:t>
      </w:r>
    </w:p>
    <w:p w14:paraId="74822387" w14:textId="77777777" w:rsidR="00570589" w:rsidRPr="001A7CCE" w:rsidRDefault="00570589" w:rsidP="0020036F">
      <w:pPr>
        <w:rPr>
          <w:rFonts w:ascii="Arial" w:hAnsi="Arial" w:cs="Arial"/>
          <w:sz w:val="24"/>
          <w:szCs w:val="24"/>
        </w:rPr>
      </w:pPr>
    </w:p>
    <w:p w14:paraId="74FCCFCE" w14:textId="6A156DAB" w:rsidR="0020036F" w:rsidRDefault="0020036F" w:rsidP="0020036F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1A7CCE">
        <w:rPr>
          <w:rFonts w:ascii="Arial" w:hAnsi="Arial" w:cs="Arial"/>
          <w:b/>
          <w:bCs/>
          <w:color w:val="auto"/>
          <w:sz w:val="28"/>
          <w:szCs w:val="28"/>
        </w:rPr>
        <w:t>Appeal Process</w:t>
      </w:r>
    </w:p>
    <w:p w14:paraId="0BFE39F5" w14:textId="77777777" w:rsidR="00570589" w:rsidRPr="00570589" w:rsidRDefault="00570589" w:rsidP="00570589"/>
    <w:p w14:paraId="21BD0BAC" w14:textId="6650718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An appeal may be submitted, in writing, or by email to the Chair of the Library Board for Board consideration. Appeals will be considered at the next scheduled Board meeting in a closed session. The Board will make a decision to uphold, uphold with amendments, or retract the Notice of Trespass. </w:t>
      </w:r>
      <w:r w:rsidR="00880FCD">
        <w:rPr>
          <w:rFonts w:ascii="Arial" w:hAnsi="Arial" w:cs="Arial"/>
          <w:sz w:val="24"/>
          <w:szCs w:val="24"/>
        </w:rPr>
        <w:t>O</w:t>
      </w:r>
      <w:r w:rsidRPr="001A7CCE">
        <w:rPr>
          <w:rFonts w:ascii="Arial" w:hAnsi="Arial" w:cs="Arial"/>
          <w:sz w:val="24"/>
          <w:szCs w:val="24"/>
        </w:rPr>
        <w:t xml:space="preserve">nly one appeal will be considered during the term of the suspension. </w:t>
      </w:r>
    </w:p>
    <w:p w14:paraId="6C758672" w14:textId="7777777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</w:p>
    <w:p w14:paraId="73B3AFC2" w14:textId="7777777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Correspondence to the Chair can be directed to: </w:t>
      </w:r>
    </w:p>
    <w:p w14:paraId="4F6A987E" w14:textId="7777777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Chair, Grimsby Public Library Board </w:t>
      </w:r>
    </w:p>
    <w:p w14:paraId="4768ECB8" w14:textId="7777777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Grimsby Public Library, </w:t>
      </w:r>
    </w:p>
    <w:p w14:paraId="1F4E2B9B" w14:textId="7777777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18 Carnegie Lane </w:t>
      </w:r>
    </w:p>
    <w:p w14:paraId="14EBAE35" w14:textId="7777777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Grimsby, Ontario </w:t>
      </w:r>
    </w:p>
    <w:p w14:paraId="3086D303" w14:textId="7777777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L3M 1Y1 </w:t>
      </w:r>
    </w:p>
    <w:p w14:paraId="7962BDF5" w14:textId="718F794F" w:rsidR="0020036F" w:rsidRPr="001A7CCE" w:rsidRDefault="00F51DA9" w:rsidP="00200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20036F" w:rsidRPr="001A7CCE">
        <w:rPr>
          <w:rFonts w:ascii="Arial" w:hAnsi="Arial" w:cs="Arial"/>
          <w:sz w:val="24"/>
          <w:szCs w:val="24"/>
        </w:rPr>
        <w:t>BoardChair@grimsbylibrary.ca</w:t>
      </w:r>
    </w:p>
    <w:p w14:paraId="5C1E545E" w14:textId="7777777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</w:p>
    <w:p w14:paraId="12977770" w14:textId="7777777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Application must be made, in writing, for re-instatement of library privileges; library privileges are not automatically re-instated. </w:t>
      </w:r>
    </w:p>
    <w:p w14:paraId="57CDBCA2" w14:textId="77777777" w:rsidR="0020036F" w:rsidRPr="001A7CCE" w:rsidRDefault="0020036F" w:rsidP="0020036F">
      <w:pPr>
        <w:rPr>
          <w:rFonts w:ascii="Arial" w:hAnsi="Arial" w:cs="Arial"/>
          <w:sz w:val="24"/>
          <w:szCs w:val="24"/>
        </w:rPr>
      </w:pPr>
    </w:p>
    <w:p w14:paraId="4D9BE681" w14:textId="77777777" w:rsidR="001A7CCE" w:rsidRDefault="0020036F" w:rsidP="001A7CCE">
      <w:pPr>
        <w:rPr>
          <w:rFonts w:ascii="Arial" w:hAnsi="Arial" w:cs="Arial"/>
          <w:sz w:val="24"/>
          <w:szCs w:val="24"/>
        </w:rPr>
      </w:pPr>
      <w:r w:rsidRPr="001A7CCE">
        <w:rPr>
          <w:rFonts w:ascii="Arial" w:hAnsi="Arial" w:cs="Arial"/>
          <w:sz w:val="24"/>
          <w:szCs w:val="24"/>
        </w:rPr>
        <w:t xml:space="preserve">The decision of the Library Board shall be considered final. </w:t>
      </w:r>
    </w:p>
    <w:p w14:paraId="5D1ECB5D" w14:textId="77777777" w:rsidR="001A7CCE" w:rsidRDefault="001A7CCE" w:rsidP="001A7CCE">
      <w:pPr>
        <w:rPr>
          <w:rFonts w:ascii="Arial" w:hAnsi="Arial" w:cs="Arial"/>
          <w:sz w:val="24"/>
          <w:szCs w:val="24"/>
        </w:rPr>
      </w:pPr>
    </w:p>
    <w:p w14:paraId="016CA972" w14:textId="77777777" w:rsidR="001A7CCE" w:rsidRDefault="001A7CCE" w:rsidP="001A7CCE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1A7CCE">
        <w:rPr>
          <w:rFonts w:ascii="Arial" w:hAnsi="Arial" w:cs="Arial"/>
          <w:b/>
          <w:bCs/>
          <w:color w:val="auto"/>
          <w:sz w:val="28"/>
          <w:szCs w:val="28"/>
        </w:rPr>
        <w:t>Appendix A</w:t>
      </w:r>
    </w:p>
    <w:p w14:paraId="3CA57DA2" w14:textId="77777777" w:rsidR="001A7CCE" w:rsidRPr="001A7CCE" w:rsidRDefault="001A7CCE" w:rsidP="001A7CCE"/>
    <w:p w14:paraId="7A1CF83E" w14:textId="311FA31F" w:rsidR="00C70673" w:rsidRPr="001A7CCE" w:rsidRDefault="00C70673" w:rsidP="001A7CCE">
      <w:pPr>
        <w:jc w:val="center"/>
        <w:rPr>
          <w:rFonts w:ascii="Arial" w:hAnsi="Arial" w:cs="Arial"/>
          <w:b/>
          <w:sz w:val="32"/>
          <w:szCs w:val="32"/>
        </w:rPr>
      </w:pPr>
      <w:r w:rsidRPr="001A7CCE">
        <w:rPr>
          <w:rFonts w:ascii="Arial" w:hAnsi="Arial" w:cs="Arial"/>
          <w:b/>
          <w:sz w:val="32"/>
          <w:szCs w:val="32"/>
        </w:rPr>
        <w:t>Trespass Ban Threshold Chart</w:t>
      </w:r>
    </w:p>
    <w:p w14:paraId="446C6E6A" w14:textId="77777777" w:rsidR="00C70673" w:rsidRDefault="00C70673" w:rsidP="00880FCD">
      <w:pPr>
        <w:tabs>
          <w:tab w:val="left" w:pos="1290"/>
        </w:tabs>
        <w:jc w:val="center"/>
        <w:rPr>
          <w:rFonts w:ascii="Arial" w:hAnsi="Arial" w:cs="Arial"/>
          <w:b/>
          <w:sz w:val="24"/>
          <w:szCs w:val="24"/>
        </w:rPr>
      </w:pPr>
      <w:r w:rsidRPr="001A7CCE">
        <w:rPr>
          <w:rFonts w:ascii="Arial" w:hAnsi="Arial" w:cs="Arial"/>
          <w:b/>
          <w:sz w:val="24"/>
          <w:szCs w:val="24"/>
        </w:rPr>
        <w:t>Maximum periods are listed and are at the discretion of library staff</w:t>
      </w:r>
    </w:p>
    <w:p w14:paraId="4F0E8946" w14:textId="77777777" w:rsidR="00880FCD" w:rsidRPr="001A7CCE" w:rsidRDefault="00880FCD" w:rsidP="00880FCD">
      <w:pPr>
        <w:tabs>
          <w:tab w:val="left" w:pos="129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29"/>
        <w:gridCol w:w="5643"/>
        <w:gridCol w:w="2721"/>
      </w:tblGrid>
      <w:tr w:rsidR="001A7CCE" w:rsidRPr="001A7CCE" w14:paraId="4A194C51" w14:textId="77777777" w:rsidTr="00880FCD">
        <w:tc>
          <w:tcPr>
            <w:tcW w:w="1129" w:type="dxa"/>
          </w:tcPr>
          <w:p w14:paraId="0ED4B725" w14:textId="77777777" w:rsidR="00C70673" w:rsidRPr="001A7CCE" w:rsidRDefault="00C70673" w:rsidP="008F0C74">
            <w:pPr>
              <w:tabs>
                <w:tab w:val="left" w:pos="1290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A7CCE">
              <w:rPr>
                <w:rFonts w:ascii="Arial" w:hAnsi="Arial" w:cs="Arial"/>
                <w:b/>
                <w:sz w:val="28"/>
                <w:szCs w:val="28"/>
              </w:rPr>
              <w:t>Level</w:t>
            </w:r>
          </w:p>
        </w:tc>
        <w:tc>
          <w:tcPr>
            <w:tcW w:w="5643" w:type="dxa"/>
          </w:tcPr>
          <w:p w14:paraId="1182C9BB" w14:textId="77777777" w:rsidR="00C70673" w:rsidRPr="001A7CCE" w:rsidRDefault="00C70673" w:rsidP="008F0C74">
            <w:pPr>
              <w:tabs>
                <w:tab w:val="left" w:pos="1290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A7CCE">
              <w:rPr>
                <w:rFonts w:ascii="Arial" w:hAnsi="Arial" w:cs="Arial"/>
                <w:b/>
                <w:sz w:val="28"/>
                <w:szCs w:val="28"/>
              </w:rPr>
              <w:t>Type of Incident</w:t>
            </w:r>
          </w:p>
        </w:tc>
        <w:tc>
          <w:tcPr>
            <w:tcW w:w="2721" w:type="dxa"/>
          </w:tcPr>
          <w:p w14:paraId="6181C2C1" w14:textId="77777777" w:rsidR="00C70673" w:rsidRPr="001A7CCE" w:rsidRDefault="00C70673" w:rsidP="008F0C74">
            <w:pPr>
              <w:tabs>
                <w:tab w:val="left" w:pos="1290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A7CCE">
              <w:rPr>
                <w:rFonts w:ascii="Arial" w:hAnsi="Arial" w:cs="Arial"/>
                <w:b/>
                <w:sz w:val="28"/>
                <w:szCs w:val="28"/>
              </w:rPr>
              <w:t>Trespass/Ban Period</w:t>
            </w:r>
          </w:p>
        </w:tc>
      </w:tr>
      <w:tr w:rsidR="001A7CCE" w:rsidRPr="001A7CCE" w14:paraId="65D780C9" w14:textId="77777777" w:rsidTr="00880FCD">
        <w:tc>
          <w:tcPr>
            <w:tcW w:w="1129" w:type="dxa"/>
          </w:tcPr>
          <w:p w14:paraId="47918FF9" w14:textId="77777777" w:rsidR="00C70673" w:rsidRPr="001A7CCE" w:rsidRDefault="00C70673" w:rsidP="008F0C74">
            <w:pPr>
              <w:tabs>
                <w:tab w:val="left" w:pos="12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43" w:type="dxa"/>
          </w:tcPr>
          <w:p w14:paraId="364D276A" w14:textId="77777777" w:rsidR="00C70673" w:rsidRPr="001A7CCE" w:rsidRDefault="00C70673" w:rsidP="008F0C74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Inappropriate use of the internet/media lab/library equipment</w:t>
            </w:r>
          </w:p>
        </w:tc>
        <w:tc>
          <w:tcPr>
            <w:tcW w:w="2721" w:type="dxa"/>
          </w:tcPr>
          <w:p w14:paraId="48EDCCD2" w14:textId="77777777" w:rsidR="00C70673" w:rsidRPr="001A7CCE" w:rsidRDefault="00C70673" w:rsidP="008F0C74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Daily Ban (after 1 verbal warning)</w:t>
            </w:r>
          </w:p>
        </w:tc>
      </w:tr>
      <w:tr w:rsidR="001A7CCE" w:rsidRPr="001A7CCE" w14:paraId="5195F985" w14:textId="77777777" w:rsidTr="00880FCD">
        <w:tc>
          <w:tcPr>
            <w:tcW w:w="1129" w:type="dxa"/>
          </w:tcPr>
          <w:p w14:paraId="17747976" w14:textId="77777777" w:rsidR="00C70673" w:rsidRPr="001A7CCE" w:rsidRDefault="00C70673" w:rsidP="008F0C74">
            <w:pPr>
              <w:tabs>
                <w:tab w:val="left" w:pos="12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43" w:type="dxa"/>
          </w:tcPr>
          <w:p w14:paraId="6A64608F" w14:textId="77777777" w:rsidR="00C70673" w:rsidRPr="001A7CCE" w:rsidRDefault="00C70673" w:rsidP="008F0C74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Refusal to follow staff direction</w:t>
            </w:r>
          </w:p>
        </w:tc>
        <w:tc>
          <w:tcPr>
            <w:tcW w:w="2721" w:type="dxa"/>
          </w:tcPr>
          <w:p w14:paraId="27D92CBC" w14:textId="77777777" w:rsidR="00C70673" w:rsidRPr="001A7CCE" w:rsidRDefault="00C70673" w:rsidP="008F0C74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Daily Ban (after 1 verbal warning)</w:t>
            </w:r>
          </w:p>
        </w:tc>
      </w:tr>
      <w:tr w:rsidR="001A7CCE" w:rsidRPr="001A7CCE" w14:paraId="3A476E4D" w14:textId="77777777" w:rsidTr="00880FCD">
        <w:tc>
          <w:tcPr>
            <w:tcW w:w="1129" w:type="dxa"/>
          </w:tcPr>
          <w:p w14:paraId="01923943" w14:textId="77777777" w:rsidR="00C70673" w:rsidRPr="001A7CCE" w:rsidRDefault="00C70673" w:rsidP="008F0C74">
            <w:pPr>
              <w:tabs>
                <w:tab w:val="left" w:pos="12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43" w:type="dxa"/>
          </w:tcPr>
          <w:p w14:paraId="61AB7FED" w14:textId="77777777" w:rsidR="00C70673" w:rsidRPr="001A7CCE" w:rsidRDefault="00C70673" w:rsidP="008F0C74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Smoking or vaping on library property</w:t>
            </w:r>
          </w:p>
        </w:tc>
        <w:tc>
          <w:tcPr>
            <w:tcW w:w="2721" w:type="dxa"/>
          </w:tcPr>
          <w:p w14:paraId="0B5796F8" w14:textId="77777777" w:rsidR="00C70673" w:rsidRPr="001A7CCE" w:rsidRDefault="00C70673" w:rsidP="008F0C74">
            <w:pPr>
              <w:tabs>
                <w:tab w:val="left" w:pos="12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 xml:space="preserve">6 months </w:t>
            </w:r>
          </w:p>
        </w:tc>
      </w:tr>
      <w:tr w:rsidR="001A7CCE" w:rsidRPr="001A7CCE" w14:paraId="4EC02124" w14:textId="77777777" w:rsidTr="00880FCD">
        <w:tc>
          <w:tcPr>
            <w:tcW w:w="1129" w:type="dxa"/>
          </w:tcPr>
          <w:p w14:paraId="615F6161" w14:textId="77777777" w:rsidR="00C70673" w:rsidRPr="001A7CCE" w:rsidRDefault="00C70673" w:rsidP="008F0C74">
            <w:pPr>
              <w:tabs>
                <w:tab w:val="left" w:pos="12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43" w:type="dxa"/>
          </w:tcPr>
          <w:p w14:paraId="2327A52D" w14:textId="77777777" w:rsidR="00C70673" w:rsidRPr="001A7CCE" w:rsidRDefault="00C70673" w:rsidP="008F0C74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Aggressive, threatening, abusive, harassing, disruptive or discriminatory language or behaviour</w:t>
            </w:r>
          </w:p>
        </w:tc>
        <w:tc>
          <w:tcPr>
            <w:tcW w:w="2721" w:type="dxa"/>
          </w:tcPr>
          <w:p w14:paraId="42F86825" w14:textId="77777777" w:rsidR="00C70673" w:rsidRPr="001A7CCE" w:rsidRDefault="00C70673" w:rsidP="008F0C74">
            <w:pPr>
              <w:tabs>
                <w:tab w:val="left" w:pos="12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6 months</w:t>
            </w:r>
          </w:p>
        </w:tc>
      </w:tr>
      <w:tr w:rsidR="001A7CCE" w:rsidRPr="001A7CCE" w14:paraId="18A8F4DB" w14:textId="77777777" w:rsidTr="00880FCD">
        <w:tc>
          <w:tcPr>
            <w:tcW w:w="1129" w:type="dxa"/>
          </w:tcPr>
          <w:p w14:paraId="3BC449C8" w14:textId="77777777" w:rsidR="00C70673" w:rsidRPr="001A7CCE" w:rsidRDefault="00C70673" w:rsidP="008F0C74">
            <w:pPr>
              <w:tabs>
                <w:tab w:val="left" w:pos="12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43" w:type="dxa"/>
          </w:tcPr>
          <w:p w14:paraId="744F401D" w14:textId="77777777" w:rsidR="00C70673" w:rsidRPr="001A7CCE" w:rsidRDefault="00C70673" w:rsidP="008F0C74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Damage or theft of library property</w:t>
            </w:r>
          </w:p>
        </w:tc>
        <w:tc>
          <w:tcPr>
            <w:tcW w:w="2721" w:type="dxa"/>
          </w:tcPr>
          <w:p w14:paraId="1F5B9D29" w14:textId="77777777" w:rsidR="00C70673" w:rsidRPr="001A7CCE" w:rsidRDefault="00C70673" w:rsidP="008F0C74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1 year to permanent</w:t>
            </w:r>
          </w:p>
        </w:tc>
      </w:tr>
      <w:tr w:rsidR="001A7CCE" w:rsidRPr="001A7CCE" w14:paraId="339C4232" w14:textId="77777777" w:rsidTr="00880FCD">
        <w:tc>
          <w:tcPr>
            <w:tcW w:w="1129" w:type="dxa"/>
          </w:tcPr>
          <w:p w14:paraId="24C62990" w14:textId="77777777" w:rsidR="00C70673" w:rsidRPr="001A7CCE" w:rsidRDefault="00C70673" w:rsidP="008F0C74">
            <w:pPr>
              <w:tabs>
                <w:tab w:val="left" w:pos="12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43" w:type="dxa"/>
          </w:tcPr>
          <w:p w14:paraId="61352F09" w14:textId="77777777" w:rsidR="00C70673" w:rsidRPr="001A7CCE" w:rsidRDefault="00C70673" w:rsidP="008F0C74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Alcohol/drug use/intoxication</w:t>
            </w:r>
          </w:p>
        </w:tc>
        <w:tc>
          <w:tcPr>
            <w:tcW w:w="2721" w:type="dxa"/>
          </w:tcPr>
          <w:p w14:paraId="505A4F2D" w14:textId="77777777" w:rsidR="00C70673" w:rsidRPr="001A7CCE" w:rsidRDefault="00C70673" w:rsidP="008F0C74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1 year to permanent</w:t>
            </w:r>
          </w:p>
        </w:tc>
      </w:tr>
      <w:tr w:rsidR="001A7CCE" w:rsidRPr="001A7CCE" w14:paraId="07C90C9C" w14:textId="77777777" w:rsidTr="00880FCD">
        <w:tc>
          <w:tcPr>
            <w:tcW w:w="1129" w:type="dxa"/>
          </w:tcPr>
          <w:p w14:paraId="0CA451A2" w14:textId="77777777" w:rsidR="00C70673" w:rsidRPr="001A7CCE" w:rsidRDefault="00C70673" w:rsidP="008F0C74">
            <w:pPr>
              <w:tabs>
                <w:tab w:val="left" w:pos="12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43" w:type="dxa"/>
          </w:tcPr>
          <w:p w14:paraId="16DC62AF" w14:textId="77777777" w:rsidR="00C70673" w:rsidRPr="001A7CCE" w:rsidRDefault="00C70673" w:rsidP="008F0C74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Possession of weapons or facsimiles</w:t>
            </w:r>
          </w:p>
        </w:tc>
        <w:tc>
          <w:tcPr>
            <w:tcW w:w="2721" w:type="dxa"/>
          </w:tcPr>
          <w:p w14:paraId="1FC29B35" w14:textId="77777777" w:rsidR="00C70673" w:rsidRPr="001A7CCE" w:rsidRDefault="00C70673" w:rsidP="008F0C74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1 year to permanent</w:t>
            </w:r>
          </w:p>
        </w:tc>
      </w:tr>
      <w:tr w:rsidR="00880FCD" w:rsidRPr="001A7CCE" w14:paraId="4AEAD5DF" w14:textId="77777777" w:rsidTr="00880FCD">
        <w:tc>
          <w:tcPr>
            <w:tcW w:w="1129" w:type="dxa"/>
          </w:tcPr>
          <w:p w14:paraId="46F573AB" w14:textId="77777777" w:rsidR="00C70673" w:rsidRPr="001A7CCE" w:rsidRDefault="00C70673" w:rsidP="008F0C74">
            <w:pPr>
              <w:tabs>
                <w:tab w:val="left" w:pos="12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43" w:type="dxa"/>
          </w:tcPr>
          <w:p w14:paraId="51634D66" w14:textId="77777777" w:rsidR="00C70673" w:rsidRPr="001A7CCE" w:rsidRDefault="00C70673" w:rsidP="008F0C74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Violence or threat of violence toward staff or public</w:t>
            </w:r>
          </w:p>
        </w:tc>
        <w:tc>
          <w:tcPr>
            <w:tcW w:w="2721" w:type="dxa"/>
          </w:tcPr>
          <w:p w14:paraId="699D1992" w14:textId="77777777" w:rsidR="00C70673" w:rsidRPr="001A7CCE" w:rsidRDefault="00C70673" w:rsidP="008F0C74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1A7CCE">
              <w:rPr>
                <w:rFonts w:ascii="Arial" w:hAnsi="Arial" w:cs="Arial"/>
                <w:sz w:val="24"/>
                <w:szCs w:val="24"/>
              </w:rPr>
              <w:t>1 year to permanent</w:t>
            </w:r>
          </w:p>
        </w:tc>
      </w:tr>
    </w:tbl>
    <w:p w14:paraId="2E1BB211" w14:textId="77777777" w:rsidR="00C70673" w:rsidRPr="001A7CCE" w:rsidRDefault="00C70673" w:rsidP="00C70673">
      <w:pPr>
        <w:tabs>
          <w:tab w:val="left" w:pos="1290"/>
        </w:tabs>
        <w:jc w:val="both"/>
      </w:pPr>
    </w:p>
    <w:sectPr w:rsidR="00C70673" w:rsidRPr="001A7CCE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F3273" w14:textId="77777777" w:rsidR="007A1129" w:rsidRDefault="007A1129" w:rsidP="00880FCD">
      <w:r>
        <w:separator/>
      </w:r>
    </w:p>
  </w:endnote>
  <w:endnote w:type="continuationSeparator" w:id="0">
    <w:p w14:paraId="05985185" w14:textId="77777777" w:rsidR="007A1129" w:rsidRDefault="007A1129" w:rsidP="0088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798304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8830F" w14:textId="3D47A877" w:rsidR="00880FCD" w:rsidRPr="00EA678A" w:rsidRDefault="00880FCD">
        <w:pPr>
          <w:pStyle w:val="Footer"/>
          <w:jc w:val="right"/>
          <w:rPr>
            <w:rFonts w:ascii="Arial" w:hAnsi="Arial" w:cs="Arial"/>
          </w:rPr>
        </w:pPr>
        <w:r w:rsidRPr="00EA678A">
          <w:rPr>
            <w:rFonts w:ascii="Arial" w:hAnsi="Arial" w:cs="Arial"/>
          </w:rPr>
          <w:fldChar w:fldCharType="begin"/>
        </w:r>
        <w:r w:rsidRPr="00EA678A">
          <w:rPr>
            <w:rFonts w:ascii="Arial" w:hAnsi="Arial" w:cs="Arial"/>
          </w:rPr>
          <w:instrText xml:space="preserve"> PAGE   \* MERGEFORMAT </w:instrText>
        </w:r>
        <w:r w:rsidRPr="00EA678A">
          <w:rPr>
            <w:rFonts w:ascii="Arial" w:hAnsi="Arial" w:cs="Arial"/>
          </w:rPr>
          <w:fldChar w:fldCharType="separate"/>
        </w:r>
        <w:r w:rsidRPr="00EA678A">
          <w:rPr>
            <w:rFonts w:ascii="Arial" w:hAnsi="Arial" w:cs="Arial"/>
            <w:noProof/>
          </w:rPr>
          <w:t>2</w:t>
        </w:r>
        <w:r w:rsidRPr="00EA678A">
          <w:rPr>
            <w:rFonts w:ascii="Arial" w:hAnsi="Arial" w:cs="Arial"/>
            <w:noProof/>
          </w:rPr>
          <w:fldChar w:fldCharType="end"/>
        </w:r>
      </w:p>
    </w:sdtContent>
  </w:sdt>
  <w:p w14:paraId="68F4E81D" w14:textId="29773BA7" w:rsidR="00880FCD" w:rsidRPr="00EA678A" w:rsidRDefault="00880FCD">
    <w:pPr>
      <w:pStyle w:val="Footer"/>
      <w:rPr>
        <w:rFonts w:ascii="Arial" w:hAnsi="Arial" w:cs="Arial"/>
      </w:rPr>
    </w:pPr>
    <w:r w:rsidRPr="00EA678A">
      <w:rPr>
        <w:rFonts w:ascii="Arial" w:hAnsi="Arial" w:cs="Arial"/>
      </w:rPr>
      <w:t>11 – 02</w:t>
    </w:r>
    <w:r w:rsidRPr="00EA678A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3DEE3" w14:textId="77777777" w:rsidR="007A1129" w:rsidRDefault="007A1129" w:rsidP="00880FCD">
      <w:r>
        <w:separator/>
      </w:r>
    </w:p>
  </w:footnote>
  <w:footnote w:type="continuationSeparator" w:id="0">
    <w:p w14:paraId="5E77282F" w14:textId="77777777" w:rsidR="007A1129" w:rsidRDefault="007A1129" w:rsidP="0088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D489B"/>
    <w:multiLevelType w:val="hybridMultilevel"/>
    <w:tmpl w:val="5E10F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31BB6"/>
    <w:multiLevelType w:val="hybridMultilevel"/>
    <w:tmpl w:val="7C8A4D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4D81"/>
    <w:multiLevelType w:val="hybridMultilevel"/>
    <w:tmpl w:val="07EC3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8304E"/>
    <w:multiLevelType w:val="hybridMultilevel"/>
    <w:tmpl w:val="0CFA5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54FE4"/>
    <w:multiLevelType w:val="hybridMultilevel"/>
    <w:tmpl w:val="49163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A340A"/>
    <w:multiLevelType w:val="hybridMultilevel"/>
    <w:tmpl w:val="35CA0E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090860">
    <w:abstractNumId w:val="4"/>
  </w:num>
  <w:num w:numId="2" w16cid:durableId="154537468">
    <w:abstractNumId w:val="0"/>
  </w:num>
  <w:num w:numId="3" w16cid:durableId="1399548460">
    <w:abstractNumId w:val="5"/>
  </w:num>
  <w:num w:numId="4" w16cid:durableId="2088258122">
    <w:abstractNumId w:val="2"/>
  </w:num>
  <w:num w:numId="5" w16cid:durableId="233902170">
    <w:abstractNumId w:val="3"/>
  </w:num>
  <w:num w:numId="6" w16cid:durableId="80099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dBRWGY5ELqh8+g9AK//QSY2jksqMIAId7ohJ4EXtfrmXv5iLXlmZtYupqqGRJ/cqZpYodceazeiYW3v+fCLvw==" w:salt="fi80dzZWDq9wmY31RKFR4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6F"/>
    <w:rsid w:val="001121BE"/>
    <w:rsid w:val="00166124"/>
    <w:rsid w:val="001A7CCE"/>
    <w:rsid w:val="001E0BF0"/>
    <w:rsid w:val="0020036F"/>
    <w:rsid w:val="00297B2B"/>
    <w:rsid w:val="005343C8"/>
    <w:rsid w:val="00570589"/>
    <w:rsid w:val="005B4225"/>
    <w:rsid w:val="006B37DA"/>
    <w:rsid w:val="00726409"/>
    <w:rsid w:val="007A1129"/>
    <w:rsid w:val="00880FCD"/>
    <w:rsid w:val="00892657"/>
    <w:rsid w:val="008B1F68"/>
    <w:rsid w:val="00AF5740"/>
    <w:rsid w:val="00BF4F94"/>
    <w:rsid w:val="00C02E6D"/>
    <w:rsid w:val="00C70673"/>
    <w:rsid w:val="00CB5F83"/>
    <w:rsid w:val="00CC4D35"/>
    <w:rsid w:val="00CD25EA"/>
    <w:rsid w:val="00CD625E"/>
    <w:rsid w:val="00EA678A"/>
    <w:rsid w:val="00F51DA9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31A3"/>
  <w15:chartTrackingRefBased/>
  <w15:docId w15:val="{38080DCC-A4D1-4D31-838C-BEB684BF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3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3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3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3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3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0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3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3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06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FCD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0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FCD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1ADA-3E6E-4DD7-B7E3-F980CBFD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766</Words>
  <Characters>4367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Drury</dc:creator>
  <cp:keywords/>
  <dc:description/>
  <cp:lastModifiedBy>Mikayla Gora</cp:lastModifiedBy>
  <cp:revision>17</cp:revision>
  <dcterms:created xsi:type="dcterms:W3CDTF">2024-07-31T15:26:00Z</dcterms:created>
  <dcterms:modified xsi:type="dcterms:W3CDTF">2025-07-15T17:59:00Z</dcterms:modified>
</cp:coreProperties>
</file>